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03113" w:rsidP="0084757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712E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3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42622" w:rsidRPr="00342622" w:rsidRDefault="00342622" w:rsidP="00342622">
      <w:pPr>
        <w:widowControl w:val="0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 xml:space="preserve">Щекинского района от 10.01.2022 № 1-3 «Об утверждении муниципальной программы муниципального образования 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>Щекинский район «Управление муниципальным имуществом</w:t>
      </w:r>
    </w:p>
    <w:p w:rsidR="00342622" w:rsidRPr="00342622" w:rsidRDefault="00342622" w:rsidP="00342622">
      <w:pPr>
        <w:shd w:val="clear" w:color="FFFFFF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342622">
        <w:rPr>
          <w:rFonts w:ascii="PT Astra Serif" w:eastAsia="Calibri" w:hAnsi="PT Astra Serif"/>
          <w:b/>
          <w:sz w:val="28"/>
          <w:szCs w:val="28"/>
        </w:rPr>
        <w:t>муниципального образования Щекинский район»</w:t>
      </w:r>
    </w:p>
    <w:p w:rsidR="00342622" w:rsidRPr="00342622" w:rsidRDefault="00342622" w:rsidP="00342622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342622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342622">
      <w:pPr>
        <w:shd w:val="clear" w:color="auto" w:fill="FFFFFF"/>
        <w:suppressAutoHyphens w:val="0"/>
        <w:spacing w:line="360" w:lineRule="auto"/>
        <w:ind w:firstLine="708"/>
        <w:jc w:val="both"/>
        <w:rPr>
          <w:lang w:eastAsia="ru-RU"/>
        </w:rPr>
      </w:pPr>
      <w:proofErr w:type="gramStart"/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  от </w:t>
      </w:r>
      <w:r w:rsidR="00ED4D9F">
        <w:rPr>
          <w:rFonts w:ascii="PT Astra Serif" w:hAnsi="PT Astra Serif"/>
          <w:color w:val="000000"/>
          <w:sz w:val="28"/>
          <w:szCs w:val="28"/>
          <w:lang w:eastAsia="ru-RU"/>
        </w:rPr>
        <w:t>17.03</w:t>
      </w:r>
      <w:r w:rsidR="0084757A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="00ED4D9F">
        <w:rPr>
          <w:rFonts w:ascii="PT Astra Serif" w:hAnsi="PT Astra Serif"/>
          <w:color w:val="000000"/>
          <w:sz w:val="28"/>
          <w:szCs w:val="28"/>
          <w:lang w:eastAsia="ru-RU"/>
        </w:rPr>
        <w:t>2023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  № </w:t>
      </w:r>
      <w:r w:rsidR="00ED4D9F">
        <w:rPr>
          <w:rFonts w:ascii="PT Astra Serif" w:hAnsi="PT Astra Serif"/>
          <w:color w:val="000000"/>
          <w:sz w:val="28"/>
          <w:szCs w:val="28"/>
          <w:lang w:eastAsia="ru-RU"/>
        </w:rPr>
        <w:t>90/597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«О бюджете муниципального обр</w:t>
      </w:r>
      <w:r w:rsidR="007069B6">
        <w:rPr>
          <w:rFonts w:ascii="PT Astra Serif" w:hAnsi="PT Astra Serif"/>
          <w:color w:val="000000"/>
          <w:sz w:val="28"/>
          <w:szCs w:val="28"/>
          <w:lang w:eastAsia="ru-RU"/>
        </w:rPr>
        <w:t>азования Щекинский район на 2023 год и на плановый период 2024 и 2025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годов», постановлением администрации Щекинского района от 01.12.2021 № 12-1550 «О Порядке разработки, реализации и оценки  эффективности муниципальных программ муниципального</w:t>
      </w:r>
      <w:proofErr w:type="gramEnd"/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342622" w:rsidRPr="00342622" w:rsidRDefault="00342622" w:rsidP="00342622">
      <w:pPr>
        <w:suppressAutoHyphens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342622">
        <w:rPr>
          <w:rFonts w:ascii="PT Astra Serif" w:eastAsia="Calibri" w:hAnsi="PT Astra Serif"/>
          <w:sz w:val="28"/>
          <w:szCs w:val="28"/>
        </w:rPr>
        <w:t xml:space="preserve">1. Внести в постановление администрации Щекинского района от 10.01.2022 № 1-3 «Об утверждении муниципальной программы муниципального образования Щекинский район «Управление </w:t>
      </w:r>
      <w:r w:rsidRPr="00342622">
        <w:rPr>
          <w:rFonts w:ascii="PT Astra Serif" w:eastAsia="Calibri" w:hAnsi="PT Astra Serif"/>
          <w:sz w:val="28"/>
          <w:szCs w:val="28"/>
        </w:rPr>
        <w:lastRenderedPageBreak/>
        <w:t>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:rsidR="00342622" w:rsidRPr="00342622" w:rsidRDefault="00342622" w:rsidP="00342622">
      <w:pPr>
        <w:widowControl w:val="0"/>
        <w:suppressAutoHyphens w:val="0"/>
        <w:spacing w:line="36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:rsidR="00342622" w:rsidRPr="00342622" w:rsidRDefault="00342622" w:rsidP="00342622">
      <w:pPr>
        <w:tabs>
          <w:tab w:val="left" w:pos="709"/>
          <w:tab w:val="left" w:pos="8647"/>
        </w:tabs>
        <w:suppressAutoHyphens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0"/>
        </w:rPr>
        <w:t>3. Настоящее постановление вступает в силу со дня официального обнародования.</w:t>
      </w:r>
    </w:p>
    <w:p w:rsidR="00342622" w:rsidRPr="00342622" w:rsidRDefault="00342622" w:rsidP="00342622">
      <w:pPr>
        <w:tabs>
          <w:tab w:val="left" w:pos="7020"/>
        </w:tabs>
        <w:suppressAutoHyphens w:val="0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342622" w:rsidRPr="00342622" w:rsidTr="009D266D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8"/>
                <w:szCs w:val="20"/>
              </w:rPr>
            </w:pP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2622" w:rsidRPr="00342622" w:rsidRDefault="00342622" w:rsidP="00342622">
            <w:pPr>
              <w:keepNext/>
              <w:suppressAutoHyphens w:val="0"/>
              <w:spacing w:line="300" w:lineRule="exact"/>
              <w:ind w:firstLine="709"/>
              <w:jc w:val="right"/>
              <w:outlineLvl w:val="0"/>
              <w:rPr>
                <w:rFonts w:ascii="PT Astra Serif" w:eastAsia="Calibri" w:hAnsi="PT Astra Serif"/>
                <w:b/>
                <w:bCs/>
                <w:sz w:val="28"/>
                <w:szCs w:val="32"/>
              </w:rPr>
            </w:pPr>
          </w:p>
        </w:tc>
      </w:tr>
    </w:tbl>
    <w:tbl>
      <w:tblPr>
        <w:tblStyle w:val="afe"/>
        <w:tblW w:w="51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2532"/>
        <w:gridCol w:w="3059"/>
      </w:tblGrid>
      <w:tr w:rsidR="00342622" w:rsidTr="00342622">
        <w:trPr>
          <w:trHeight w:val="229"/>
        </w:trPr>
        <w:tc>
          <w:tcPr>
            <w:tcW w:w="2178" w:type="pct"/>
            <w:hideMark/>
          </w:tcPr>
          <w:p w:rsidR="00342622" w:rsidRDefault="007069B6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34262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342622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34262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42622" w:rsidRDefault="003426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342622" w:rsidRDefault="007069B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  <w:r w:rsidRPr="00342622">
        <w:rPr>
          <w:rFonts w:ascii="PT Astra Serif" w:eastAsia="Calibri" w:hAnsi="PT Astra Serif"/>
          <w:color w:val="FFFFF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color w:val="FFFFF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ab/>
      </w: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342622">
      <w:pPr>
        <w:tabs>
          <w:tab w:val="left" w:pos="7020"/>
        </w:tabs>
        <w:suppressAutoHyphens w:val="0"/>
        <w:spacing w:line="360" w:lineRule="auto"/>
        <w:ind w:right="11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Pr="00342622" w:rsidRDefault="00342622" w:rsidP="00342622">
      <w:pPr>
        <w:tabs>
          <w:tab w:val="left" w:pos="7020"/>
        </w:tabs>
        <w:suppressAutoHyphens w:val="0"/>
        <w:spacing w:line="360" w:lineRule="auto"/>
        <w:ind w:right="11" w:firstLine="6804"/>
        <w:jc w:val="both"/>
        <w:rPr>
          <w:rFonts w:ascii="PT Astra Serif" w:eastAsia="Calibri" w:hAnsi="PT Astra Serif"/>
          <w:sz w:val="28"/>
          <w:szCs w:val="28"/>
        </w:rPr>
      </w:pPr>
    </w:p>
    <w:p w:rsid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  <w:sectPr w:rsidR="00342622" w:rsidSect="009D266D">
          <w:head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</w:p>
    <w:p w:rsidR="00342622" w:rsidRPr="00342622" w:rsidRDefault="00342622" w:rsidP="00342622">
      <w:pPr>
        <w:suppressAutoHyphens w:val="0"/>
        <w:ind w:right="11"/>
        <w:rPr>
          <w:rFonts w:ascii="PT Astra Serif" w:eastAsia="Calibri" w:hAnsi="PT Astra Serif"/>
          <w:sz w:val="20"/>
          <w:szCs w:val="20"/>
        </w:rPr>
      </w:pPr>
    </w:p>
    <w:p w:rsidR="00342622" w:rsidRPr="00342622" w:rsidRDefault="00342622" w:rsidP="00342622">
      <w:pPr>
        <w:suppressAutoHyphens w:val="0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42622">
        <w:rPr>
          <w:rFonts w:ascii="PT Astra Serif" w:eastAsia="Calibri" w:hAnsi="PT Astra Serif"/>
          <w:sz w:val="28"/>
          <w:szCs w:val="28"/>
        </w:rPr>
        <w:t>Приложение</w:t>
      </w:r>
    </w:p>
    <w:p w:rsidR="00342622" w:rsidRPr="00342622" w:rsidRDefault="00342622" w:rsidP="00342622">
      <w:pPr>
        <w:suppressAutoHyphens w:val="0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</w:t>
      </w:r>
      <w:r w:rsidRPr="00342622">
        <w:rPr>
          <w:rFonts w:ascii="PT Astra Serif" w:eastAsia="Calibri" w:hAnsi="PT Astra Serif"/>
          <w:sz w:val="28"/>
          <w:szCs w:val="28"/>
        </w:rPr>
        <w:t>к постановлению администрации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Щекинский район</w:t>
      </w:r>
    </w:p>
    <w:p w:rsidR="00342622" w:rsidRPr="00342622" w:rsidRDefault="00342622" w:rsidP="00342622">
      <w:pPr>
        <w:suppressAutoHyphens w:val="0"/>
        <w:jc w:val="center"/>
        <w:rPr>
          <w:rFonts w:ascii="PT Astra Serif" w:eastAsia="Calibri" w:hAnsi="PT Astra Serif"/>
          <w:sz w:val="28"/>
          <w:szCs w:val="28"/>
          <w:u w:val="single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 от </w:t>
      </w:r>
      <w:r w:rsidR="007069B6">
        <w:rPr>
          <w:rFonts w:ascii="PT Astra Serif" w:eastAsia="Calibri" w:hAnsi="PT Astra Serif"/>
          <w:sz w:val="28"/>
          <w:szCs w:val="28"/>
          <w:u w:val="single"/>
        </w:rPr>
        <w:t>___________</w:t>
      </w:r>
      <w:r w:rsidRPr="00342622">
        <w:rPr>
          <w:rFonts w:ascii="PT Astra Serif" w:eastAsia="Calibri" w:hAnsi="PT Astra Serif"/>
          <w:sz w:val="28"/>
          <w:szCs w:val="28"/>
        </w:rPr>
        <w:t xml:space="preserve">№ </w:t>
      </w:r>
      <w:r w:rsidR="007069B6">
        <w:rPr>
          <w:rFonts w:ascii="PT Astra Serif" w:eastAsia="Calibri" w:hAnsi="PT Astra Serif"/>
          <w:sz w:val="28"/>
          <w:szCs w:val="28"/>
          <w:u w:val="single"/>
        </w:rPr>
        <w:t>_________</w:t>
      </w:r>
    </w:p>
    <w:p w:rsidR="00342622" w:rsidRPr="00342622" w:rsidRDefault="00342622" w:rsidP="00342622">
      <w:pPr>
        <w:suppressAutoHyphens w:val="0"/>
        <w:ind w:left="4536" w:right="11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</w:t>
      </w:r>
    </w:p>
    <w:p w:rsidR="00342622" w:rsidRPr="00342622" w:rsidRDefault="00342622" w:rsidP="00342622">
      <w:pPr>
        <w:suppressAutoHyphens w:val="0"/>
        <w:ind w:left="4536" w:right="11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УТВЕРЖДЕНА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муниципального образования</w:t>
      </w:r>
    </w:p>
    <w:p w:rsidR="00342622" w:rsidRPr="00342622" w:rsidRDefault="00342622" w:rsidP="00342622">
      <w:pPr>
        <w:suppressAutoHyphens w:val="0"/>
        <w:ind w:left="4536" w:right="11" w:firstLine="42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Щекинский район</w:t>
      </w:r>
    </w:p>
    <w:p w:rsidR="00342622" w:rsidRPr="00342622" w:rsidRDefault="00342622" w:rsidP="00342622">
      <w:pPr>
        <w:suppressAutoHyphens w:val="0"/>
        <w:jc w:val="center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от </w:t>
      </w:r>
      <w:r w:rsidRPr="00342622">
        <w:rPr>
          <w:rFonts w:ascii="PT Astra Serif" w:eastAsia="Calibri" w:hAnsi="PT Astra Serif"/>
          <w:sz w:val="28"/>
          <w:szCs w:val="28"/>
          <w:u w:val="single"/>
        </w:rPr>
        <w:t>10.01.2022</w:t>
      </w:r>
      <w:r w:rsidRPr="00342622">
        <w:rPr>
          <w:rFonts w:ascii="PT Astra Serif" w:eastAsia="Calibri" w:hAnsi="PT Astra Serif"/>
          <w:sz w:val="28"/>
          <w:szCs w:val="28"/>
        </w:rPr>
        <w:t xml:space="preserve"> №  </w:t>
      </w:r>
      <w:r w:rsidRPr="00342622">
        <w:rPr>
          <w:rFonts w:ascii="PT Astra Serif" w:eastAsia="Calibri" w:hAnsi="PT Astra Serif"/>
          <w:sz w:val="28"/>
          <w:szCs w:val="28"/>
          <w:u w:val="single"/>
        </w:rPr>
        <w:t>1-3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«Управление муниципальным имуществом муниципального образования Щекинский район» 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муниципальной программы 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suppressAutoHyphens w:val="0"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42622" w:rsidRPr="00342622" w:rsidRDefault="00342622" w:rsidP="00342622">
      <w:pPr>
        <w:numPr>
          <w:ilvl w:val="0"/>
          <w:numId w:val="27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t>Основные положения</w:t>
      </w:r>
    </w:p>
    <w:p w:rsidR="00342622" w:rsidRPr="00342622" w:rsidRDefault="00342622" w:rsidP="00342622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342622" w:rsidRPr="00342622" w:rsidTr="009D266D">
        <w:tc>
          <w:tcPr>
            <w:tcW w:w="2773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342622" w:rsidRPr="00342622" w:rsidTr="009D266D">
        <w:trPr>
          <w:trHeight w:val="735"/>
        </w:trPr>
        <w:tc>
          <w:tcPr>
            <w:tcW w:w="2773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eastAsia="Arial Unicode MS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  <w:r w:rsidRPr="00342622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622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ED4D9F">
              <w:rPr>
                <w:rFonts w:ascii="PT Astra Serif" w:hAnsi="PT Astra Serif"/>
                <w:b/>
                <w:lang w:eastAsia="ru-RU"/>
              </w:rPr>
              <w:t>474944,8</w:t>
            </w:r>
            <w:r w:rsidR="007069B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2022 – </w:t>
            </w:r>
            <w:r w:rsidR="002906C8">
              <w:rPr>
                <w:rFonts w:ascii="PT Astra Serif" w:hAnsi="PT Astra Serif"/>
                <w:lang w:eastAsia="ru-RU"/>
              </w:rPr>
              <w:t>87719,2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2023 – </w:t>
            </w:r>
            <w:r w:rsidR="00ED4D9F">
              <w:rPr>
                <w:rFonts w:ascii="PT Astra Serif" w:hAnsi="PT Astra Serif"/>
                <w:lang w:eastAsia="ru-RU"/>
              </w:rPr>
              <w:t>65124,1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2024 – </w:t>
            </w:r>
            <w:r w:rsidR="007069B6">
              <w:rPr>
                <w:rFonts w:ascii="PT Astra Serif" w:hAnsi="PT Astra Serif"/>
                <w:lang w:eastAsia="ru-RU"/>
              </w:rPr>
              <w:t>58910,9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 xml:space="preserve">2025 – </w:t>
            </w:r>
            <w:r w:rsidR="007069B6">
              <w:rPr>
                <w:rFonts w:ascii="PT Astra Serif" w:hAnsi="PT Astra Serif"/>
                <w:lang w:eastAsia="ru-RU"/>
              </w:rPr>
              <w:t>60236,6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2026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2027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2028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2029 – 40590,8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2030 – 40590,8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  <w:lang w:eastAsia="ru-RU"/>
        </w:rPr>
      </w:pPr>
      <w:r w:rsidRPr="00342622">
        <w:rPr>
          <w:rFonts w:ascii="PT Astra Serif" w:hAnsi="PT Astra Serif"/>
          <w:b/>
          <w:bCs/>
          <w:lang w:eastAsia="ru-RU"/>
        </w:rPr>
        <w:t xml:space="preserve">Показатели муниципальной программы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342622" w:rsidRPr="00342622" w:rsidTr="009D266D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342622" w:rsidRPr="00342622" w:rsidTr="009D266D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342622" w:rsidRPr="00342622" w:rsidTr="009D266D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342622" w:rsidRPr="00342622" w:rsidTr="009D266D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622">
              <w:rPr>
                <w:rFonts w:ascii="PT Astra Serif" w:eastAsia="Calibri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342622" w:rsidRPr="00342622" w:rsidTr="009D266D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342622" w:rsidRPr="00342622" w:rsidTr="009D266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342622" w:rsidRPr="00342622" w:rsidTr="009D266D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  <w:r w:rsidRPr="00342622">
              <w:rPr>
                <w:rFonts w:ascii="PT Astra Serif" w:hAnsi="PT Astra Serif"/>
                <w:sz w:val="16"/>
                <w:szCs w:val="16"/>
                <w:lang w:val="en-US" w:eastAsia="ru-RU"/>
              </w:rPr>
              <w:t>,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342622" w:rsidRPr="00342622" w:rsidTr="009D266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342622" w:rsidRPr="00342622" w:rsidTr="009D266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342622" w:rsidRPr="00342622" w:rsidTr="009D266D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342622" w:rsidRPr="00342622" w:rsidTr="009D266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342622" w:rsidRPr="00342622" w:rsidRDefault="00342622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lastRenderedPageBreak/>
        <w:t>Структура муниципальной программы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3004"/>
        <w:gridCol w:w="3676"/>
        <w:gridCol w:w="3679"/>
      </w:tblGrid>
      <w:tr w:rsidR="00342622" w:rsidRPr="00342622" w:rsidTr="009D266D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342622" w:rsidRPr="00342622" w:rsidTr="009D266D">
        <w:trPr>
          <w:trHeight w:val="25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342622" w:rsidRPr="00342622" w:rsidTr="009D266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numPr>
                <w:ilvl w:val="0"/>
                <w:numId w:val="28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342622" w:rsidRPr="00342622" w:rsidTr="009D266D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1306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342622" w:rsidRPr="00342622" w:rsidTr="009D266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342622" w:rsidRPr="00342622" w:rsidTr="009D266D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279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342622" w:rsidRPr="00342622" w:rsidTr="009D266D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342622" w:rsidRPr="00342622" w:rsidTr="009D266D">
        <w:trPr>
          <w:trHeight w:val="53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342622" w:rsidRPr="00342622" w:rsidTr="009D266D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342622" w:rsidRPr="00342622" w:rsidTr="009D266D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Щекинского района» </w:t>
            </w:r>
            <w:proofErr w:type="spellStart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Бандурина</w:t>
            </w:r>
            <w:proofErr w:type="spellEnd"/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342622" w:rsidRPr="00342622" w:rsidTr="009D266D">
        <w:trPr>
          <w:trHeight w:val="532"/>
        </w:trPr>
        <w:tc>
          <w:tcPr>
            <w:tcW w:w="1545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  <w:shd w:val="clear" w:color="auto" w:fill="auto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342622" w:rsidRPr="00342622" w:rsidRDefault="00342622" w:rsidP="00342622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42622">
        <w:rPr>
          <w:rFonts w:ascii="PT Astra Serif" w:eastAsia="Calibri" w:hAnsi="PT Astra Serif"/>
          <w:b/>
          <w:lang w:eastAsia="en-US"/>
        </w:rPr>
        <w:lastRenderedPageBreak/>
        <w:t xml:space="preserve">Финансовое обеспечение муниципальной программы 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198"/>
        <w:gridCol w:w="1345"/>
        <w:gridCol w:w="1348"/>
        <w:gridCol w:w="1345"/>
        <w:gridCol w:w="1345"/>
        <w:gridCol w:w="1345"/>
        <w:gridCol w:w="1345"/>
        <w:gridCol w:w="1194"/>
        <w:gridCol w:w="1194"/>
        <w:gridCol w:w="1308"/>
      </w:tblGrid>
      <w:tr w:rsidR="00342622" w:rsidRPr="00342622" w:rsidTr="009D266D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342622" w:rsidRPr="00342622" w:rsidTr="009D266D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342622" w:rsidRPr="00342622" w:rsidTr="009D266D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342622" w:rsidRPr="00342622" w:rsidTr="009D266D">
        <w:trPr>
          <w:trHeight w:val="736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2906C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87719,2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65124,1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58910,9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60236,6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474944,8</w:t>
            </w:r>
          </w:p>
        </w:tc>
      </w:tr>
      <w:tr w:rsidR="00342622" w:rsidRPr="00342622" w:rsidTr="009D266D">
        <w:trPr>
          <w:trHeight w:val="70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6D5B65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</w:tr>
      <w:tr w:rsidR="00342622" w:rsidRPr="00342622" w:rsidTr="009D266D">
        <w:trPr>
          <w:trHeight w:val="475"/>
        </w:trPr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102,7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1381,0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1538,7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8773,5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6D5B65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78443,4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65021,4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57529,9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4247D7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58697,9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342622" w:rsidRPr="00342622" w:rsidRDefault="00BF0A1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462646,6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  <w:r w:rsidR="00342622"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9" w:type="pct"/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  <w:r w:rsidR="00342622"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</w:t>
            </w:r>
            <w:r w:rsidR="00342622"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342622" w:rsidRPr="00342622" w:rsidRDefault="000C0595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26</w:t>
            </w:r>
            <w:r w:rsidR="00342622"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</w:t>
            </w:r>
            <w:r w:rsidR="00342622"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</w:t>
            </w:r>
            <w:r w:rsidR="00342622"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</w:t>
            </w:r>
            <w:r w:rsidR="00342622"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0C0595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26</w:t>
            </w:r>
            <w:r w:rsidR="00342622"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BD494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6351,0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46189,0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BD494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6351,0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6A0BB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46189,0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62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9A5CF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10997,2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509,6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1873,5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2041,8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17172,1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1043AE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9A5CF6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102,7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1381,0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1538,7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8773,5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2F1E19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1721,4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492,5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703D4C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703D4C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4873,9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61F4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66</w:t>
            </w:r>
            <w:r w:rsidR="002906C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512</w:t>
            </w:r>
            <w:bookmarkStart w:id="0" w:name="_GoBack"/>
            <w:bookmarkEnd w:id="0"/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63,5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44707,4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45864,8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385583,7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2906C8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51263,5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44707,4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D91021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45864,8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329DD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385583,7</w:t>
            </w:r>
          </w:p>
        </w:tc>
      </w:tr>
      <w:tr w:rsidR="00342622" w:rsidRPr="00342622" w:rsidTr="009D266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342622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342622" w:rsidRPr="00342622" w:rsidTr="009D266D">
        <w:tc>
          <w:tcPr>
            <w:tcW w:w="9351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20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342622" w:rsidRPr="00342622" w:rsidTr="009D266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11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342622" w:rsidRPr="00342622" w:rsidTr="009D266D">
              <w:tc>
                <w:tcPr>
                  <w:tcW w:w="9923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PT Astra Serif" w:hAnsi="PT Astra Serif"/>
                      <w:lang w:eastAsia="ru-RU"/>
                    </w:rPr>
                  </w:pPr>
                </w:p>
              </w:tc>
            </w:tr>
          </w:tbl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Паспорт  комплекса процессных мероприятий муниципальной программы 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«Имущественные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342622" w:rsidRPr="00342622" w:rsidTr="009D266D">
        <w:tc>
          <w:tcPr>
            <w:tcW w:w="2835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7B0E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46189,0</w:t>
            </w:r>
            <w:r w:rsidR="00361F4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CC1BD2">
              <w:rPr>
                <w:rFonts w:ascii="PT Astra Serif" w:hAnsi="PT Astra Serif"/>
                <w:sz w:val="20"/>
                <w:szCs w:val="20"/>
                <w:lang w:eastAsia="ru-RU"/>
              </w:rPr>
              <w:t>4878,0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7B0E22">
              <w:rPr>
                <w:rFonts w:ascii="PT Astra Serif" w:hAnsi="PT Astra Serif"/>
                <w:sz w:val="20"/>
                <w:szCs w:val="20"/>
                <w:lang w:eastAsia="ru-RU"/>
              </w:rPr>
              <w:t>6351,0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5330,0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5330,0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4860,0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4860,0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4860,0</w:t>
            </w:r>
          </w:p>
        </w:tc>
      </w:tr>
    </w:tbl>
    <w:p w:rsidR="00342622" w:rsidRPr="00342622" w:rsidRDefault="00342622" w:rsidP="00342622">
      <w:pPr>
        <w:suppressAutoHyphens w:val="0"/>
        <w:rPr>
          <w:rFonts w:ascii="Arial" w:eastAsia="Arial" w:hAnsi="Arial"/>
          <w:vanish/>
          <w:sz w:val="22"/>
          <w:szCs w:val="22"/>
          <w:lang w:eastAsia="ru-RU"/>
        </w:rPr>
      </w:pPr>
    </w:p>
    <w:tbl>
      <w:tblPr>
        <w:tblStyle w:val="11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342622" w:rsidRPr="00342622" w:rsidTr="009D266D">
        <w:tc>
          <w:tcPr>
            <w:tcW w:w="4681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Перечень мероприятий (результатов) комплекса процессных мероприятий 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«Имущественные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342622" w:rsidRPr="00342622" w:rsidRDefault="00342622" w:rsidP="00342622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3713,6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CC1BD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3713,6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ED4D9F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5071,0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ED4D9F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5071,0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9C35EC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9C35EC" w:rsidP="00784EC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784EC8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9C35EC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9C35EC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val="en-US"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val="en-US"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342622" w:rsidRPr="00342622" w:rsidTr="009D266D">
        <w:tc>
          <w:tcPr>
            <w:tcW w:w="9351" w:type="dxa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val="en-US" w:eastAsia="ru-RU"/>
              </w:rPr>
            </w:pPr>
          </w:p>
        </w:tc>
        <w:tc>
          <w:tcPr>
            <w:tcW w:w="520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622">
              <w:rPr>
                <w:rFonts w:ascii="PT Astra Serif" w:hAnsi="PT Astra Serif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муниципального образования Щекинский район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E2690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17172,4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7C24E9">
              <w:rPr>
                <w:rFonts w:ascii="PT Astra Serif" w:hAnsi="PT Astra Serif"/>
                <w:sz w:val="20"/>
                <w:szCs w:val="20"/>
                <w:lang w:eastAsia="ru-RU"/>
              </w:rPr>
              <w:t>10997,2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509,6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1873,5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784EC8">
              <w:rPr>
                <w:rFonts w:ascii="PT Astra Serif" w:hAnsi="PT Astra Serif"/>
                <w:sz w:val="20"/>
                <w:szCs w:val="20"/>
                <w:lang w:eastAsia="ru-RU"/>
              </w:rPr>
              <w:t>2041,8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350,0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350,0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350,0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11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42622" w:rsidRPr="00342622" w:rsidTr="009D266D">
        <w:tc>
          <w:tcPr>
            <w:tcW w:w="5039" w:type="dxa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u w:val="single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  <w:r w:rsidR="00342622"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9A5CF6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9A5CF6" w:rsidRDefault="007C24E9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10014,5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9A5CF6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3524,7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9A5CF6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5078,7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9A5CF6" w:rsidRDefault="00ED58C0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A5CF6">
              <w:rPr>
                <w:rFonts w:ascii="PT Astra Serif" w:hAnsi="PT Astra Serif"/>
                <w:sz w:val="16"/>
                <w:szCs w:val="16"/>
                <w:lang w:eastAsia="ru-RU"/>
              </w:rPr>
              <w:t>1411,1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комплексных кадастровых работ в отношении гаражных массивов </w:t>
            </w:r>
          </w:p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782,7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672,4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9D266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34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38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1.4</w:t>
            </w: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4</w:t>
            </w:r>
            <w:r w:rsidRPr="0034262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58C0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ED58C0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1473,5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1381,0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1641,8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1538,7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DE664D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E26907" w:rsidRPr="00342622" w:rsidTr="00E26907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07" w:rsidRPr="00342622" w:rsidRDefault="00E26907" w:rsidP="00E2690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Pr="00342622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342622" w:rsidRPr="00342622" w:rsidTr="009D266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342622" w:rsidRPr="00342622" w:rsidTr="009D266D">
              <w:tc>
                <w:tcPr>
                  <w:tcW w:w="5436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hAnsi="PT Astra Serif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342622" w:rsidRPr="00342622" w:rsidRDefault="00342622" w:rsidP="00342622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Приложение № 3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к муниципальной программе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«Управление муниципальным имуществом муниципального образования Щекинский район»</w:t>
                  </w:r>
                </w:p>
              </w:tc>
            </w:tr>
          </w:tbl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 «Обеспечение деятельности муниципального казенного учреждения «Хозяйственно-эксплуатационное управление»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342622" w:rsidRPr="00342622" w:rsidTr="009D266D">
        <w:trPr>
          <w:trHeight w:val="843"/>
        </w:trPr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342622" w:rsidRPr="00342622" w:rsidTr="009D266D">
        <w:tc>
          <w:tcPr>
            <w:tcW w:w="3402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  <w:r w:rsidR="00220F9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="00ED4D9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385583,7</w:t>
            </w:r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3E220B">
              <w:rPr>
                <w:rFonts w:ascii="PT Astra Serif" w:hAnsi="PT Astra Serif"/>
                <w:sz w:val="20"/>
                <w:szCs w:val="20"/>
                <w:lang w:eastAsia="ru-RU"/>
              </w:rPr>
              <w:t>66844,0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ED4D9F">
              <w:rPr>
                <w:rFonts w:ascii="PT Astra Serif" w:hAnsi="PT Astra Serif"/>
                <w:sz w:val="20"/>
                <w:szCs w:val="20"/>
                <w:lang w:eastAsia="ru-RU"/>
              </w:rPr>
              <w:t>51263,5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DE664D">
              <w:rPr>
                <w:rFonts w:ascii="PT Astra Serif" w:hAnsi="PT Astra Serif"/>
                <w:sz w:val="20"/>
                <w:szCs w:val="20"/>
                <w:lang w:eastAsia="ru-RU"/>
              </w:rPr>
              <w:t>44707,4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E664D">
              <w:rPr>
                <w:rFonts w:ascii="PT Astra Serif" w:hAnsi="PT Astra Serif"/>
                <w:sz w:val="20"/>
                <w:szCs w:val="20"/>
                <w:lang w:eastAsia="ru-RU"/>
              </w:rPr>
              <w:t>45864,8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2026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2027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2028 – 35380,8</w:t>
            </w:r>
          </w:p>
          <w:p w:rsidR="00342622" w:rsidRPr="00342622" w:rsidRDefault="00342622" w:rsidP="00342622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2029 – 35380,8</w:t>
            </w:r>
          </w:p>
          <w:p w:rsidR="00342622" w:rsidRPr="00342622" w:rsidRDefault="00342622" w:rsidP="0034262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2030 – 35380,8</w:t>
            </w: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342622" w:rsidRPr="00342622" w:rsidRDefault="00342622" w:rsidP="0034262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42622" w:rsidRPr="00342622" w:rsidTr="009D266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342622" w:rsidRPr="00342622" w:rsidTr="009D266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42622" w:rsidRPr="00342622" w:rsidTr="009D266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342622" w:rsidRPr="00342622" w:rsidTr="009D266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342622" w:rsidRPr="00342622" w:rsidTr="009D26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342622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342622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42622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342622" w:rsidRPr="00342622" w:rsidTr="009D266D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E220B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E220B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ED4D9F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51263,5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ED4D9F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51263,5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44707,4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44707,4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45864,8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DE664D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45864,8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42622" w:rsidRPr="00342622" w:rsidTr="009D266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622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22" w:rsidRPr="00342622" w:rsidRDefault="00342622" w:rsidP="003426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E664D" w:rsidRPr="00342622" w:rsidRDefault="00DE664D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111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342622" w:rsidRPr="00342622" w:rsidTr="009D266D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342622" w:rsidRPr="00342622" w:rsidTr="009D266D">
              <w:tc>
                <w:tcPr>
                  <w:tcW w:w="236" w:type="dxa"/>
                </w:tcPr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hAnsi="PT Astra Serif"/>
                      <w:lang w:eastAsia="ru-RU"/>
                    </w:rPr>
                  </w:pPr>
                </w:p>
              </w:tc>
              <w:tc>
                <w:tcPr>
                  <w:tcW w:w="4117" w:type="dxa"/>
                </w:tcPr>
                <w:p w:rsidR="00342622" w:rsidRPr="00342622" w:rsidRDefault="00342622" w:rsidP="00342622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Приложение № 4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к муниципальной программе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«Управление муниципальным имуществом</w:t>
                  </w:r>
                </w:p>
                <w:p w:rsidR="00342622" w:rsidRPr="00342622" w:rsidRDefault="00342622" w:rsidP="0034262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lang w:eastAsia="ru-RU"/>
                    </w:rPr>
                  </w:pPr>
                  <w:r w:rsidRPr="00342622">
                    <w:rPr>
                      <w:rFonts w:ascii="PT Astra Serif" w:hAnsi="PT Astra Serif"/>
                      <w:lang w:eastAsia="ru-RU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Характеристика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  <w:r w:rsidRPr="00342622">
        <w:rPr>
          <w:rFonts w:ascii="PT Astra Serif" w:hAnsi="PT Astra Serif"/>
          <w:b/>
          <w:lang w:eastAsia="ru-RU"/>
        </w:rPr>
        <w:t>показателей результативности муниципальной программы</w:t>
      </w:r>
    </w:p>
    <w:p w:rsidR="00342622" w:rsidRPr="00342622" w:rsidRDefault="00342622" w:rsidP="0034262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342622" w:rsidRPr="00342622" w:rsidTr="009D266D">
        <w:trPr>
          <w:tblHeader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342622" w:rsidRPr="00342622" w:rsidRDefault="00342622" w:rsidP="0034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</w:t>
            </w: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образованием Щекинский район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tabs>
                <w:tab w:val="left" w:pos="2694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342622" w:rsidRPr="00342622" w:rsidRDefault="00342622" w:rsidP="00342622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из Единого государственного реестра недвижимости.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124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К=А/Вx100%,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где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поступивших в бюджет МО Щекинский район в предыдущем году доходов от использования муниципального имущества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770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D=</w:t>
            </w: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./</w:t>
            </w:r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общ.x100%,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где 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D – доля,</w:t>
            </w:r>
          </w:p>
          <w:p w:rsidR="00342622" w:rsidRPr="00342622" w:rsidRDefault="00342622" w:rsidP="0034262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.– количество исполненных заявок на проведение ремонтных работ,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  <w:r w:rsidRPr="00342622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Журнал регистрации заявок МКУ «ХЭУ Щекинского района».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342622" w:rsidRPr="00342622" w:rsidTr="009D266D">
        <w:trPr>
          <w:trHeight w:val="1602"/>
        </w:trPr>
        <w:tc>
          <w:tcPr>
            <w:tcW w:w="2412" w:type="dxa"/>
            <w:vAlign w:val="center"/>
          </w:tcPr>
          <w:p w:rsidR="00342622" w:rsidRPr="00342622" w:rsidRDefault="00342622" w:rsidP="0034262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342622" w:rsidRPr="00342622" w:rsidRDefault="00342622" w:rsidP="0034262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262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342622" w:rsidRPr="00342622" w:rsidRDefault="00342622" w:rsidP="00342622">
      <w:pPr>
        <w:suppressAutoHyphens w:val="0"/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342622" w:rsidRPr="00342622" w:rsidRDefault="00342622" w:rsidP="00342622">
      <w:pPr>
        <w:suppressAutoHyphens w:val="0"/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5B2800" w:rsidRDefault="00342622" w:rsidP="00342622">
      <w:pPr>
        <w:rPr>
          <w:rFonts w:ascii="PT Astra Serif" w:hAnsi="PT Astra Serif" w:cs="PT Astra Serif"/>
          <w:sz w:val="28"/>
          <w:szCs w:val="28"/>
        </w:rPr>
      </w:pPr>
      <w:r w:rsidRPr="00342622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________________________________________________________________________________________________________________________________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sectPr w:rsidR="00115CE3" w:rsidSect="00342622">
      <w:headerReference w:type="default" r:id="rId12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DD" w:rsidRDefault="003329DD">
      <w:r>
        <w:separator/>
      </w:r>
    </w:p>
  </w:endnote>
  <w:endnote w:type="continuationSeparator" w:id="0">
    <w:p w:rsidR="003329DD" w:rsidRDefault="0033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DD" w:rsidRDefault="003329DD">
    <w:pPr>
      <w:pStyle w:val="af3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DD" w:rsidRDefault="003329DD">
      <w:r>
        <w:separator/>
      </w:r>
    </w:p>
  </w:footnote>
  <w:footnote w:type="continuationSeparator" w:id="0">
    <w:p w:rsidR="003329DD" w:rsidRDefault="0033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DD" w:rsidRDefault="003329DD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BF0A1C">
      <w:rPr>
        <w:noProof/>
      </w:rPr>
      <w:t>2</w:t>
    </w:r>
    <w:r>
      <w:fldChar w:fldCharType="end"/>
    </w:r>
  </w:p>
  <w:p w:rsidR="003329DD" w:rsidRDefault="003329DD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DD" w:rsidRDefault="003329D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7"/>
  </w:num>
  <w:num w:numId="5">
    <w:abstractNumId w:val="22"/>
  </w:num>
  <w:num w:numId="6">
    <w:abstractNumId w:val="12"/>
  </w:num>
  <w:num w:numId="7">
    <w:abstractNumId w:val="1"/>
  </w:num>
  <w:num w:numId="8">
    <w:abstractNumId w:val="17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"/>
  </w:num>
  <w:num w:numId="14">
    <w:abstractNumId w:val="20"/>
  </w:num>
  <w:num w:numId="15">
    <w:abstractNumId w:val="11"/>
  </w:num>
  <w:num w:numId="16">
    <w:abstractNumId w:val="8"/>
  </w:num>
  <w:num w:numId="17">
    <w:abstractNumId w:val="24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  <w:num w:numId="22">
    <w:abstractNumId w:val="14"/>
  </w:num>
  <w:num w:numId="23">
    <w:abstractNumId w:val="21"/>
  </w:num>
  <w:num w:numId="24">
    <w:abstractNumId w:val="27"/>
  </w:num>
  <w:num w:numId="25">
    <w:abstractNumId w:val="5"/>
  </w:num>
  <w:num w:numId="26">
    <w:abstractNumId w:val="26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133"/>
    <w:rsid w:val="0004561B"/>
    <w:rsid w:val="00097D31"/>
    <w:rsid w:val="000C0595"/>
    <w:rsid w:val="000D05A0"/>
    <w:rsid w:val="000E6231"/>
    <w:rsid w:val="000F03B2"/>
    <w:rsid w:val="000F1693"/>
    <w:rsid w:val="001043AE"/>
    <w:rsid w:val="00114141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2E66"/>
    <w:rsid w:val="002013D6"/>
    <w:rsid w:val="0021412F"/>
    <w:rsid w:val="002147F8"/>
    <w:rsid w:val="00220F9E"/>
    <w:rsid w:val="002316CD"/>
    <w:rsid w:val="00236560"/>
    <w:rsid w:val="00260B37"/>
    <w:rsid w:val="00270C3B"/>
    <w:rsid w:val="002906C8"/>
    <w:rsid w:val="0029794D"/>
    <w:rsid w:val="002A16C1"/>
    <w:rsid w:val="002B4FD2"/>
    <w:rsid w:val="002E54BE"/>
    <w:rsid w:val="002F1E19"/>
    <w:rsid w:val="002F3D3E"/>
    <w:rsid w:val="00322635"/>
    <w:rsid w:val="003329DD"/>
    <w:rsid w:val="00342622"/>
    <w:rsid w:val="00361F48"/>
    <w:rsid w:val="003A2384"/>
    <w:rsid w:val="003C3A0B"/>
    <w:rsid w:val="003D216B"/>
    <w:rsid w:val="003E220B"/>
    <w:rsid w:val="004247D7"/>
    <w:rsid w:val="00454DF6"/>
    <w:rsid w:val="004712E2"/>
    <w:rsid w:val="0048387B"/>
    <w:rsid w:val="004964FF"/>
    <w:rsid w:val="004A30FE"/>
    <w:rsid w:val="004A3E4D"/>
    <w:rsid w:val="004C74A2"/>
    <w:rsid w:val="00527B97"/>
    <w:rsid w:val="005B2800"/>
    <w:rsid w:val="005B3753"/>
    <w:rsid w:val="005C6B9A"/>
    <w:rsid w:val="005F5F13"/>
    <w:rsid w:val="005F6D36"/>
    <w:rsid w:val="005F7562"/>
    <w:rsid w:val="005F7DEF"/>
    <w:rsid w:val="00615B69"/>
    <w:rsid w:val="00631C5C"/>
    <w:rsid w:val="006A0BBE"/>
    <w:rsid w:val="006D5B65"/>
    <w:rsid w:val="006F2075"/>
    <w:rsid w:val="00703D4C"/>
    <w:rsid w:val="007069B6"/>
    <w:rsid w:val="007112E3"/>
    <w:rsid w:val="007143EE"/>
    <w:rsid w:val="00724E8F"/>
    <w:rsid w:val="00735804"/>
    <w:rsid w:val="00750ABC"/>
    <w:rsid w:val="00751008"/>
    <w:rsid w:val="00756486"/>
    <w:rsid w:val="00784EC8"/>
    <w:rsid w:val="00796661"/>
    <w:rsid w:val="007B0E22"/>
    <w:rsid w:val="007B59CE"/>
    <w:rsid w:val="007C24E9"/>
    <w:rsid w:val="007F12CE"/>
    <w:rsid w:val="007F4F01"/>
    <w:rsid w:val="00816330"/>
    <w:rsid w:val="00826211"/>
    <w:rsid w:val="0083223B"/>
    <w:rsid w:val="0084757A"/>
    <w:rsid w:val="00886A38"/>
    <w:rsid w:val="008A457D"/>
    <w:rsid w:val="008F2E0C"/>
    <w:rsid w:val="009110D2"/>
    <w:rsid w:val="009A21C9"/>
    <w:rsid w:val="009A5CF6"/>
    <w:rsid w:val="009A7968"/>
    <w:rsid w:val="009C35EC"/>
    <w:rsid w:val="009D266D"/>
    <w:rsid w:val="009D4C67"/>
    <w:rsid w:val="00A24EB9"/>
    <w:rsid w:val="00A333F8"/>
    <w:rsid w:val="00B0593F"/>
    <w:rsid w:val="00B562C1"/>
    <w:rsid w:val="00B63641"/>
    <w:rsid w:val="00BA4658"/>
    <w:rsid w:val="00BD2261"/>
    <w:rsid w:val="00BD4949"/>
    <w:rsid w:val="00BF0A1C"/>
    <w:rsid w:val="00CC1BD2"/>
    <w:rsid w:val="00CC4111"/>
    <w:rsid w:val="00CF25B5"/>
    <w:rsid w:val="00CF3559"/>
    <w:rsid w:val="00D86826"/>
    <w:rsid w:val="00D91021"/>
    <w:rsid w:val="00DE664D"/>
    <w:rsid w:val="00E03E77"/>
    <w:rsid w:val="00E06FAE"/>
    <w:rsid w:val="00E11B07"/>
    <w:rsid w:val="00E15B2A"/>
    <w:rsid w:val="00E26907"/>
    <w:rsid w:val="00E323FF"/>
    <w:rsid w:val="00E41E47"/>
    <w:rsid w:val="00E727C9"/>
    <w:rsid w:val="00ED4D9F"/>
    <w:rsid w:val="00ED58C0"/>
    <w:rsid w:val="00EE017B"/>
    <w:rsid w:val="00F03113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43C9-C026-4CEC-90B5-1DD31160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483</TotalTime>
  <Pages>23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25</cp:revision>
  <cp:lastPrinted>2022-12-26T14:15:00Z</cp:lastPrinted>
  <dcterms:created xsi:type="dcterms:W3CDTF">2022-07-07T06:12:00Z</dcterms:created>
  <dcterms:modified xsi:type="dcterms:W3CDTF">2023-03-24T07:11:00Z</dcterms:modified>
</cp:coreProperties>
</file>