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775B8C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F6F4D" w:rsidRPr="003F6F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04.02.2025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775B8C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6F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123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bookmarkStart w:id="0" w:name="_GoBack"/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  <w:bookmarkEnd w:id="0"/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</w:t>
      </w:r>
      <w:r w:rsidRPr="006E4EC5">
        <w:rPr>
          <w:rFonts w:ascii="PT Astra Serif" w:hAnsi="PT Astra Serif"/>
          <w:spacing w:val="-2"/>
          <w:sz w:val="28"/>
          <w:szCs w:val="28"/>
        </w:rPr>
        <w:t xml:space="preserve">Федерации», </w:t>
      </w:r>
      <w:r w:rsidR="006E4EC5" w:rsidRPr="006E4EC5">
        <w:rPr>
          <w:rFonts w:ascii="PT Astra Serif" w:hAnsi="PT Astra Serif"/>
          <w:spacing w:val="-2"/>
          <w:sz w:val="28"/>
          <w:szCs w:val="28"/>
        </w:rPr>
        <w:t xml:space="preserve">решением </w:t>
      </w:r>
      <w:r w:rsidR="006E4EC5" w:rsidRPr="006E4EC5"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                               от </w:t>
      </w:r>
      <w:r w:rsidR="00AD7F65">
        <w:rPr>
          <w:rFonts w:ascii="PT Astra Serif" w:hAnsi="PT Astra Serif"/>
          <w:sz w:val="28"/>
          <w:szCs w:val="28"/>
        </w:rPr>
        <w:t>18.12.</w:t>
      </w:r>
      <w:r w:rsidR="006E4EC5" w:rsidRPr="006E4EC5">
        <w:rPr>
          <w:rFonts w:ascii="PT Astra Serif" w:hAnsi="PT Astra Serif"/>
          <w:sz w:val="28"/>
          <w:szCs w:val="28"/>
        </w:rPr>
        <w:t>2024 №</w:t>
      </w:r>
      <w:r w:rsidR="009F2AAD">
        <w:rPr>
          <w:rFonts w:ascii="PT Astra Serif" w:hAnsi="PT Astra Serif"/>
          <w:sz w:val="28"/>
          <w:szCs w:val="28"/>
        </w:rPr>
        <w:t> </w:t>
      </w:r>
      <w:r w:rsidR="00AD7F65">
        <w:rPr>
          <w:rFonts w:ascii="PT Astra Serif" w:hAnsi="PT Astra Serif"/>
          <w:sz w:val="28"/>
          <w:szCs w:val="28"/>
        </w:rPr>
        <w:t>24/17</w:t>
      </w:r>
      <w:r w:rsidR="006E72A2">
        <w:rPr>
          <w:rFonts w:ascii="PT Astra Serif" w:hAnsi="PT Astra Serif"/>
          <w:sz w:val="28"/>
          <w:szCs w:val="28"/>
        </w:rPr>
        <w:t>7</w:t>
      </w:r>
      <w:r w:rsidR="006E4EC5" w:rsidRPr="006E4EC5">
        <w:rPr>
          <w:rFonts w:ascii="PT Astra Serif" w:hAnsi="PT Astra Serif"/>
          <w:sz w:val="28"/>
          <w:szCs w:val="28"/>
        </w:rPr>
        <w:t xml:space="preserve"> «</w:t>
      </w:r>
      <w:r w:rsidR="006E4EC5" w:rsidRPr="00A203BF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 на 202</w:t>
      </w:r>
      <w:r w:rsidR="006E72A2">
        <w:rPr>
          <w:rFonts w:ascii="PT Astra Serif" w:hAnsi="PT Astra Serif"/>
          <w:sz w:val="28"/>
          <w:szCs w:val="28"/>
        </w:rPr>
        <w:t>5</w:t>
      </w:r>
      <w:r w:rsidR="006E4EC5" w:rsidRPr="00A203B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E72A2">
        <w:rPr>
          <w:rFonts w:ascii="PT Astra Serif" w:hAnsi="PT Astra Serif"/>
          <w:sz w:val="28"/>
          <w:szCs w:val="28"/>
        </w:rPr>
        <w:t>6</w:t>
      </w:r>
      <w:r w:rsidR="006E4EC5" w:rsidRPr="00A203BF">
        <w:rPr>
          <w:rFonts w:ascii="PT Astra Serif" w:hAnsi="PT Astra Serif"/>
          <w:sz w:val="28"/>
          <w:szCs w:val="28"/>
        </w:rPr>
        <w:t xml:space="preserve"> и 202</w:t>
      </w:r>
      <w:r w:rsidR="006E72A2">
        <w:rPr>
          <w:rFonts w:ascii="PT Astra Serif" w:hAnsi="PT Astra Serif"/>
          <w:sz w:val="28"/>
          <w:szCs w:val="28"/>
        </w:rPr>
        <w:t>7</w:t>
      </w:r>
      <w:r w:rsidR="006E4EC5" w:rsidRPr="00A203BF">
        <w:rPr>
          <w:rFonts w:ascii="PT Astra Serif" w:hAnsi="PT Astra Serif"/>
          <w:sz w:val="28"/>
          <w:szCs w:val="28"/>
        </w:rPr>
        <w:t xml:space="preserve"> годов»</w:t>
      </w:r>
      <w:r w:rsidR="006E4EC5">
        <w:rPr>
          <w:rFonts w:ascii="PT Astra Serif" w:hAnsi="PT Astra Serif"/>
          <w:sz w:val="28"/>
          <w:szCs w:val="28"/>
        </w:rPr>
        <w:t>,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53988" w:rsidRDefault="00D13452" w:rsidP="0005398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053988" w:rsidRPr="001C63BB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053988" w:rsidRPr="00FF3B38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658"/>
      </w:tblGrid>
      <w:tr w:rsidR="002A16C1" w:rsidRPr="00682A56" w:rsidTr="00DA34ED">
        <w:trPr>
          <w:trHeight w:val="229"/>
        </w:trPr>
        <w:tc>
          <w:tcPr>
            <w:tcW w:w="2303" w:type="pct"/>
          </w:tcPr>
          <w:p w:rsidR="002A16C1" w:rsidRPr="00682A56" w:rsidRDefault="00775B8C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682A5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682A5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682A56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4" w:type="pct"/>
            <w:vAlign w:val="bottom"/>
          </w:tcPr>
          <w:p w:rsidR="002A16C1" w:rsidRPr="00682A56" w:rsidRDefault="00775B8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3F6F4D" w:rsidRPr="003F6F4D">
        <w:rPr>
          <w:rFonts w:ascii="PT Astra Serif" w:hAnsi="PT Astra Serif"/>
          <w:sz w:val="28"/>
          <w:szCs w:val="28"/>
          <w:lang w:eastAsia="ru-RU"/>
        </w:rPr>
        <w:t>04.02.2025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3F6F4D">
        <w:rPr>
          <w:rFonts w:ascii="PT Astra Serif" w:hAnsi="PT Astra Serif"/>
          <w:sz w:val="28"/>
          <w:szCs w:val="28"/>
          <w:lang w:eastAsia="ru-RU"/>
        </w:rPr>
        <w:t>2 – 123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775B8C">
              <w:rPr>
                <w:rFonts w:ascii="PT Astra Serif" w:hAnsi="PT Astra Serif"/>
                <w:lang w:eastAsia="ru-RU"/>
              </w:rPr>
              <w:t>7486,4</w:t>
            </w:r>
            <w:r w:rsidR="00E14EE5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427,3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75B8C">
              <w:rPr>
                <w:rFonts w:ascii="PT Astra Serif" w:hAnsi="PT Astra Serif"/>
                <w:lang w:eastAsia="ru-RU"/>
              </w:rPr>
              <w:t>882,0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917,3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775B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775B8C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4F076D" w:rsidRDefault="00775B8C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7486,4</w:t>
            </w:r>
          </w:p>
        </w:tc>
      </w:tr>
      <w:tr w:rsidR="00775B8C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7486,4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3348,45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3348,45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3613,35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3613,35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524,6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4F076D" w:rsidRDefault="00775B8C" w:rsidP="00400EB3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524,6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75B8C">
              <w:rPr>
                <w:rFonts w:ascii="PT Astra Serif" w:hAnsi="PT Astra Serif"/>
                <w:b/>
                <w:lang w:eastAsia="ru-RU"/>
              </w:rPr>
              <w:t>3348,45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126,5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75B8C">
              <w:rPr>
                <w:rFonts w:ascii="PT Astra Serif" w:hAnsi="PT Astra Serif"/>
                <w:lang w:eastAsia="ru-RU"/>
              </w:rPr>
              <w:t>415,8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432,4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775B8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образования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3348,45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3348,45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00EB3">
              <w:rPr>
                <w:rFonts w:ascii="PT Astra Serif" w:hAnsi="PT Astra Serif"/>
                <w:b/>
                <w:lang w:eastAsia="ru-RU"/>
              </w:rPr>
              <w:t>3613,35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400EB3">
              <w:rPr>
                <w:rFonts w:ascii="PT Astra Serif" w:hAnsi="PT Astra Serif"/>
                <w:lang w:eastAsia="ru-RU"/>
              </w:rPr>
              <w:t>263,3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A0216A">
              <w:rPr>
                <w:rFonts w:ascii="PT Astra Serif" w:hAnsi="PT Astra Serif"/>
                <w:lang w:eastAsia="ru-RU"/>
              </w:rPr>
              <w:t>390,2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400EB3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3613,35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3613,35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6366C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524,6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6366CF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524,6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2948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2948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2948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2948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79,1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29483B">
            <w:pPr>
              <w:jc w:val="center"/>
            </w:pPr>
            <w:r>
              <w:t>79,1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29483B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29483B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29483B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29483B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F0" w:rsidRDefault="001A33F0">
      <w:r>
        <w:separator/>
      </w:r>
    </w:p>
  </w:endnote>
  <w:endnote w:type="continuationSeparator" w:id="0">
    <w:p w:rsidR="001A33F0" w:rsidRDefault="001A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8C" w:rsidRDefault="00775B8C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75B8C" w:rsidRDefault="00775B8C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8C" w:rsidRDefault="00775B8C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F0" w:rsidRDefault="001A33F0">
      <w:r>
        <w:separator/>
      </w:r>
    </w:p>
  </w:footnote>
  <w:footnote w:type="continuationSeparator" w:id="0">
    <w:p w:rsidR="001A33F0" w:rsidRDefault="001A3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75B8C" w:rsidRPr="003F6F4D" w:rsidRDefault="00775B8C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3F6F4D">
          <w:rPr>
            <w:rFonts w:ascii="PT Astra Serif" w:hAnsi="PT Astra Serif"/>
            <w:sz w:val="28"/>
            <w:szCs w:val="28"/>
          </w:rPr>
          <w:t>2</w:t>
        </w:r>
      </w:p>
    </w:sdtContent>
  </w:sdt>
  <w:p w:rsidR="00775B8C" w:rsidRDefault="00775B8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8C" w:rsidRDefault="00775B8C">
    <w:pPr>
      <w:pStyle w:val="af2"/>
      <w:jc w:val="center"/>
    </w:pPr>
  </w:p>
  <w:p w:rsidR="00775B8C" w:rsidRDefault="00775B8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8C" w:rsidRDefault="00775B8C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75B8C" w:rsidRDefault="00775B8C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8C" w:rsidRDefault="00775B8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3F6F4D">
      <w:rPr>
        <w:noProof/>
      </w:rPr>
      <w:t>12</w:t>
    </w:r>
    <w:r>
      <w:fldChar w:fldCharType="end"/>
    </w:r>
  </w:p>
  <w:p w:rsidR="00775B8C" w:rsidRDefault="00775B8C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775B8C" w:rsidRDefault="00775B8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4D">
          <w:rPr>
            <w:noProof/>
          </w:rPr>
          <w:t>2</w:t>
        </w:r>
        <w:r>
          <w:fldChar w:fldCharType="end"/>
        </w:r>
      </w:p>
    </w:sdtContent>
  </w:sdt>
  <w:p w:rsidR="00775B8C" w:rsidRDefault="00775B8C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775B8C" w:rsidRDefault="00775B8C">
        <w:pPr>
          <w:pStyle w:val="af2"/>
          <w:jc w:val="center"/>
        </w:pPr>
      </w:p>
      <w:p w:rsidR="00775B8C" w:rsidRDefault="00775B8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4D">
          <w:rPr>
            <w:noProof/>
          </w:rPr>
          <w:t>16</w:t>
        </w:r>
        <w:r>
          <w:fldChar w:fldCharType="end"/>
        </w:r>
      </w:p>
    </w:sdtContent>
  </w:sdt>
  <w:p w:rsidR="00775B8C" w:rsidRDefault="00775B8C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8C" w:rsidRDefault="00775B8C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8C" w:rsidRDefault="00775B8C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CC1"/>
    <w:rsid w:val="00010179"/>
    <w:rsid w:val="00043531"/>
    <w:rsid w:val="0004561B"/>
    <w:rsid w:val="00053988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84ECA"/>
    <w:rsid w:val="001A33F0"/>
    <w:rsid w:val="001A5FBD"/>
    <w:rsid w:val="001B493E"/>
    <w:rsid w:val="001C32A8"/>
    <w:rsid w:val="001C7CE2"/>
    <w:rsid w:val="001D411A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16D"/>
    <w:rsid w:val="003B4851"/>
    <w:rsid w:val="003C180A"/>
    <w:rsid w:val="003C3A0B"/>
    <w:rsid w:val="003D216B"/>
    <w:rsid w:val="003F6F4D"/>
    <w:rsid w:val="00400EB3"/>
    <w:rsid w:val="004305D0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6D36"/>
    <w:rsid w:val="005F7562"/>
    <w:rsid w:val="005F7DEF"/>
    <w:rsid w:val="00631C5C"/>
    <w:rsid w:val="006366CF"/>
    <w:rsid w:val="006504EC"/>
    <w:rsid w:val="00654403"/>
    <w:rsid w:val="00657359"/>
    <w:rsid w:val="00682A56"/>
    <w:rsid w:val="006846C1"/>
    <w:rsid w:val="006E4EC5"/>
    <w:rsid w:val="006E72A2"/>
    <w:rsid w:val="006F2075"/>
    <w:rsid w:val="007112E3"/>
    <w:rsid w:val="0071199A"/>
    <w:rsid w:val="007143EE"/>
    <w:rsid w:val="00724E8F"/>
    <w:rsid w:val="00730FF9"/>
    <w:rsid w:val="00735804"/>
    <w:rsid w:val="00750ABC"/>
    <w:rsid w:val="00751008"/>
    <w:rsid w:val="00751B39"/>
    <w:rsid w:val="00775B8C"/>
    <w:rsid w:val="00796661"/>
    <w:rsid w:val="007E3AB1"/>
    <w:rsid w:val="007F12CE"/>
    <w:rsid w:val="007F1A4B"/>
    <w:rsid w:val="007F4F01"/>
    <w:rsid w:val="008224A7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71283"/>
    <w:rsid w:val="009813C8"/>
    <w:rsid w:val="00993681"/>
    <w:rsid w:val="009A3EC5"/>
    <w:rsid w:val="009A7968"/>
    <w:rsid w:val="009F2AAD"/>
    <w:rsid w:val="00A0216A"/>
    <w:rsid w:val="00A24EB9"/>
    <w:rsid w:val="00A333F8"/>
    <w:rsid w:val="00AA3A74"/>
    <w:rsid w:val="00AD7F65"/>
    <w:rsid w:val="00B0593F"/>
    <w:rsid w:val="00B562C1"/>
    <w:rsid w:val="00B63641"/>
    <w:rsid w:val="00B74ECE"/>
    <w:rsid w:val="00BA4658"/>
    <w:rsid w:val="00BD2261"/>
    <w:rsid w:val="00BF6CAC"/>
    <w:rsid w:val="00C50375"/>
    <w:rsid w:val="00C64C32"/>
    <w:rsid w:val="00C9619F"/>
    <w:rsid w:val="00CC4111"/>
    <w:rsid w:val="00CF25B5"/>
    <w:rsid w:val="00CF3559"/>
    <w:rsid w:val="00D13452"/>
    <w:rsid w:val="00D15CA1"/>
    <w:rsid w:val="00D3303B"/>
    <w:rsid w:val="00D57CEF"/>
    <w:rsid w:val="00DA34ED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F33C9B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B3E0-326D-4B2B-8AD0-F2677D04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2025-02-04T12:42:00Z</cp:lastPrinted>
  <dcterms:created xsi:type="dcterms:W3CDTF">2025-02-04T12:43:00Z</dcterms:created>
  <dcterms:modified xsi:type="dcterms:W3CDTF">2025-02-04T12:43:00Z</dcterms:modified>
</cp:coreProperties>
</file>