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A7A1F" w:rsidP="00DF3596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F3596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D13452" w:rsidP="00DF3596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2069A7"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 w:rsidR="002069A7"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 w:rsidR="002069A7"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 </w:t>
      </w:r>
      <w:r w:rsidR="002069A7"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>
        <w:rPr>
          <w:rFonts w:ascii="PT Astra Serif" w:hAnsi="PT Astra Serif"/>
          <w:color w:val="000000"/>
          <w:sz w:val="28"/>
          <w:szCs w:val="28"/>
        </w:rPr>
        <w:t>от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  </w:t>
      </w:r>
      <w:r w:rsidR="002C0B55">
        <w:rPr>
          <w:rFonts w:ascii="PT Astra Serif" w:hAnsi="PT Astra Serif"/>
          <w:spacing w:val="-2"/>
          <w:sz w:val="28"/>
          <w:szCs w:val="28"/>
        </w:rPr>
        <w:t>16.12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.2022  № </w:t>
      </w:r>
      <w:r w:rsidR="002C0B55">
        <w:rPr>
          <w:sz w:val="28"/>
          <w:szCs w:val="28"/>
        </w:rPr>
        <w:t>84/566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«О бюджете муниципального образования Щекинский район на 202</w:t>
      </w:r>
      <w:r w:rsidR="002C0B55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2C0B55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2C0B5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годов»,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</w:t>
      </w:r>
      <w:r w:rsidRPr="00CA01C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Default="00D13452" w:rsidP="00DF3596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D13452" w:rsidRPr="00354953" w:rsidRDefault="00D13452" w:rsidP="00DF359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 стенде  администрации  Щекинского  района   по 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354953">
        <w:rPr>
          <w:rFonts w:ascii="PT Astra Serif" w:eastAsia="Calibri" w:hAnsi="PT Astra Serif"/>
          <w:bCs/>
          <w:sz w:val="28"/>
          <w:szCs w:val="28"/>
        </w:rPr>
        <w:lastRenderedPageBreak/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DF3596">
      <w:pPr>
        <w:shd w:val="clear" w:color="auto" w:fill="FFFFFF"/>
        <w:spacing w:line="360" w:lineRule="exact"/>
        <w:ind w:firstLine="701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DF3596">
        <w:rPr>
          <w:rFonts w:ascii="PT Astra Serif" w:hAnsi="PT Astra Serif"/>
          <w:sz w:val="28"/>
          <w:szCs w:val="28"/>
          <w:lang w:eastAsia="ru-RU"/>
        </w:rPr>
        <w:t>____________</w:t>
      </w:r>
      <w:r w:rsidRPr="00353AF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DF3596">
        <w:rPr>
          <w:rFonts w:ascii="PT Astra Serif" w:hAnsi="PT Astra Serif"/>
          <w:sz w:val="28"/>
          <w:szCs w:val="28"/>
          <w:lang w:eastAsia="ru-RU"/>
        </w:rPr>
        <w:t>______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353AF2">
        <w:rPr>
          <w:rFonts w:ascii="PT Astra Serif" w:hAnsi="PT Astra Serif"/>
          <w:b/>
          <w:color w:val="000000"/>
          <w:lang w:eastAsia="ru-RU"/>
        </w:rPr>
        <w:br/>
      </w: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</w:t>
            </w:r>
            <w:bookmarkStart w:id="0" w:name="_GoBack"/>
            <w:r w:rsidRPr="00353AF2">
              <w:rPr>
                <w:rFonts w:ascii="PT Astra Serif" w:hAnsi="PT Astra Serif"/>
                <w:lang w:eastAsia="ru-RU"/>
              </w:rPr>
              <w:t>0</w:t>
            </w:r>
            <w:bookmarkEnd w:id="0"/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suppressAutoHyphens w:val="0"/>
        <w:ind w:left="-426" w:firstLine="56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353AF2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Показатели муниципальной программы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4"/>
        <w:gridCol w:w="1352"/>
        <w:gridCol w:w="38"/>
        <w:gridCol w:w="1206"/>
      </w:tblGrid>
      <w:tr w:rsidR="00353AF2" w:rsidRPr="00353AF2" w:rsidTr="00730FF9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730FF9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деятельности и должностного (служебного) роста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353AF2">
        <w:rPr>
          <w:rFonts w:ascii="PT Astra Serif" w:hAnsi="PT Astra Serif"/>
          <w:b/>
          <w:sz w:val="28"/>
          <w:szCs w:val="28"/>
          <w:lang w:eastAsia="ru-RU"/>
        </w:rPr>
        <w:t xml:space="preserve">3. </w:t>
      </w:r>
      <w:r w:rsidRPr="00353AF2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353AF2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131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3.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53AF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229</w:t>
            </w:r>
            <w:r w:rsidR="00353AF2"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2128,85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2128,85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муниципальных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3910,45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3910,45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730FF9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2. Открытость муниципальной службы и ее доступность.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3. Внедрение эффективных методов подбора квалифицированных кадров.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4.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F3596">
              <w:rPr>
                <w:rFonts w:ascii="PT Astra Serif" w:hAnsi="PT Astra Serif"/>
                <w:b/>
                <w:lang w:eastAsia="ru-RU"/>
              </w:rPr>
              <w:t>2128,85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DF3596">
              <w:rPr>
                <w:rFonts w:ascii="PT Astra Serif" w:hAnsi="PT Astra Serif"/>
                <w:lang w:eastAsia="ru-RU"/>
              </w:rPr>
              <w:t>229,8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lastRenderedPageBreak/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Создание эффективной системы подбора и расстановки кадров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2128,85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2128,85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C5037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3.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53AF2" w:rsidRPr="00353AF2" w:rsidTr="00730FF9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Совершенствование работы по формированию кадрового резерва и резерва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службе и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F3596">
              <w:rPr>
                <w:rFonts w:ascii="PT Astra Serif" w:hAnsi="PT Astra Serif"/>
                <w:b/>
                <w:lang w:eastAsia="ru-RU"/>
              </w:rPr>
              <w:t>3910,45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DF3596">
              <w:rPr>
                <w:rFonts w:ascii="PT Astra Serif" w:hAnsi="PT Astra Serif"/>
                <w:lang w:eastAsia="ru-RU"/>
              </w:rPr>
              <w:t>460,0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375,2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390,2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475,9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475,9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DD218A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751B39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3910,45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751B39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3910,45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 = ВДр/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 = ВДк/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муниципальных служащих и работников, замещающих должности, не отнесенные к должностям муниципальной службы,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замещающих должности, не отнесенные к должностям муниципальной службы, подлежащих обучению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 = Ко/Кпо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 xml:space="preserve"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 = МСа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 = МСд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Sect="00C64C32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3E" w:rsidRDefault="001B493E">
      <w:r>
        <w:separator/>
      </w:r>
    </w:p>
  </w:endnote>
  <w:endnote w:type="continuationSeparator" w:id="0">
    <w:p w:rsidR="001B493E" w:rsidRDefault="001B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596" w:rsidRDefault="00DF3596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3E" w:rsidRDefault="001B493E">
      <w:r>
        <w:separator/>
      </w:r>
    </w:p>
  </w:footnote>
  <w:footnote w:type="continuationSeparator" w:id="0">
    <w:p w:rsidR="001B493E" w:rsidRDefault="001B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596" w:rsidRDefault="00DF359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D218A">
      <w:rPr>
        <w:noProof/>
      </w:rPr>
      <w:t>2</w:t>
    </w:r>
    <w:r>
      <w:fldChar w:fldCharType="end"/>
    </w:r>
  </w:p>
  <w:p w:rsidR="00DF3596" w:rsidRDefault="00DF359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B47B8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36560"/>
    <w:rsid w:val="00260B37"/>
    <w:rsid w:val="00270C3B"/>
    <w:rsid w:val="0029794D"/>
    <w:rsid w:val="002A16C1"/>
    <w:rsid w:val="002B4FD2"/>
    <w:rsid w:val="002C0B55"/>
    <w:rsid w:val="002E54BE"/>
    <w:rsid w:val="00322635"/>
    <w:rsid w:val="00353AF2"/>
    <w:rsid w:val="00381029"/>
    <w:rsid w:val="003A2384"/>
    <w:rsid w:val="003B4851"/>
    <w:rsid w:val="003C3A0B"/>
    <w:rsid w:val="003D216B"/>
    <w:rsid w:val="0048387B"/>
    <w:rsid w:val="004940C5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4403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A3A74"/>
    <w:rsid w:val="00B0593F"/>
    <w:rsid w:val="00B562C1"/>
    <w:rsid w:val="00B63641"/>
    <w:rsid w:val="00BA4658"/>
    <w:rsid w:val="00BD2261"/>
    <w:rsid w:val="00C50375"/>
    <w:rsid w:val="00C64C32"/>
    <w:rsid w:val="00CC4111"/>
    <w:rsid w:val="00CF25B5"/>
    <w:rsid w:val="00CF3559"/>
    <w:rsid w:val="00D13452"/>
    <w:rsid w:val="00DD218A"/>
    <w:rsid w:val="00DF3596"/>
    <w:rsid w:val="00E03E77"/>
    <w:rsid w:val="00E06FAE"/>
    <w:rsid w:val="00E11B07"/>
    <w:rsid w:val="00E41E47"/>
    <w:rsid w:val="00E727C9"/>
    <w:rsid w:val="00EA7A1F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D627D5F-9F70-49DD-8EB1-68A3338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4C94-BB35-4DC1-A1EB-D5EF386C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78</TotalTime>
  <Pages>1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14</cp:revision>
  <cp:lastPrinted>2022-06-08T10:52:00Z</cp:lastPrinted>
  <dcterms:created xsi:type="dcterms:W3CDTF">2022-07-07T06:12:00Z</dcterms:created>
  <dcterms:modified xsi:type="dcterms:W3CDTF">2023-03-21T13:02:00Z</dcterms:modified>
</cp:coreProperties>
</file>